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F7B3" w14:textId="625E3FC3" w:rsidR="009B1818" w:rsidRDefault="009B1818" w:rsidP="009B1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別表1（第2条関係）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9B1818" w14:paraId="34368B6A" w14:textId="77777777" w:rsidTr="00396A49">
        <w:tc>
          <w:tcPr>
            <w:tcW w:w="1555" w:type="dxa"/>
          </w:tcPr>
          <w:p w14:paraId="6AE04792" w14:textId="77777777" w:rsidR="009B1818" w:rsidRDefault="009B1818" w:rsidP="00396A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評価対象事項</w:t>
            </w:r>
          </w:p>
        </w:tc>
        <w:tc>
          <w:tcPr>
            <w:tcW w:w="2409" w:type="dxa"/>
          </w:tcPr>
          <w:p w14:paraId="3926990F" w14:textId="77777777" w:rsidR="009B1818" w:rsidRDefault="009B1818" w:rsidP="00396A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評価基準</w:t>
            </w:r>
          </w:p>
        </w:tc>
        <w:tc>
          <w:tcPr>
            <w:tcW w:w="4530" w:type="dxa"/>
          </w:tcPr>
          <w:p w14:paraId="18CAB961" w14:textId="77777777" w:rsidR="009B1818" w:rsidRDefault="009B1818" w:rsidP="00396A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点検・評価の方法</w:t>
            </w:r>
          </w:p>
        </w:tc>
      </w:tr>
      <w:tr w:rsidR="009B1818" w14:paraId="62928ECE" w14:textId="77777777" w:rsidTr="00396A49">
        <w:tc>
          <w:tcPr>
            <w:tcW w:w="1555" w:type="dxa"/>
            <w:tcBorders>
              <w:bottom w:val="nil"/>
            </w:tcBorders>
          </w:tcPr>
          <w:p w14:paraId="2B8F3ECC" w14:textId="77777777" w:rsidR="009B1818" w:rsidRDefault="001F2033" w:rsidP="00396A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交換</w:t>
            </w:r>
            <w:r w:rsidR="009B1818">
              <w:rPr>
                <w:rFonts w:ascii="ＭＳ 明朝" w:eastAsia="ＭＳ 明朝" w:hAnsi="ＭＳ 明朝" w:hint="eastAsia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B1818">
              <w:rPr>
                <w:rFonts w:ascii="ＭＳ 明朝" w:eastAsia="ＭＳ 明朝" w:hAnsi="ＭＳ 明朝" w:hint="eastAsia"/>
                <w:szCs w:val="21"/>
              </w:rPr>
              <w:t>支援に関する事項</w:t>
            </w:r>
          </w:p>
        </w:tc>
        <w:tc>
          <w:tcPr>
            <w:tcW w:w="2409" w:type="dxa"/>
          </w:tcPr>
          <w:p w14:paraId="3168D10E" w14:textId="77777777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１　</w:t>
            </w:r>
            <w:r w:rsidR="001F2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交換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への生活支援等を行う体制を整備し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，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必要に応じて生活支援等を行って</w:t>
            </w: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52694818" w14:textId="1DDA7F9C" w:rsidR="009B1818" w:rsidRPr="00D376EA" w:rsidRDefault="009B1818" w:rsidP="00396A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0" w:type="dxa"/>
          </w:tcPr>
          <w:p w14:paraId="2BFFAB0B" w14:textId="77777777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・1-1　</w:t>
            </w:r>
            <w:r w:rsidR="001F2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交換</w:t>
            </w: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に対する生活支援の実施体制及び実施状況について確認する。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0A51952C" w14:textId="77777777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76D47A18" w14:textId="77777777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【根拠資料・データ】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505CE500" w14:textId="77777777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1F2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交換</w:t>
            </w: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5023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への生活支援の実施体制及び実施状況（別紙様式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  <w:r w:rsidRPr="0050232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16CA1BA0" w14:textId="350A839C" w:rsidR="009B1818" w:rsidRPr="00502325" w:rsidRDefault="009B1818" w:rsidP="00396A49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1818" w14:paraId="7A3E50B9" w14:textId="77777777" w:rsidTr="00396A49">
        <w:tc>
          <w:tcPr>
            <w:tcW w:w="1555" w:type="dxa"/>
            <w:tcBorders>
              <w:top w:val="nil"/>
            </w:tcBorders>
          </w:tcPr>
          <w:p w14:paraId="2B7D7231" w14:textId="77777777" w:rsidR="009B1818" w:rsidRDefault="009B1818" w:rsidP="00396A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06929739" w14:textId="77777777" w:rsidR="009B1818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２　</w:t>
            </w:r>
            <w:r w:rsidR="001F2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交換</w:t>
            </w:r>
            <w:r w:rsidRPr="0076158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76158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に対する学習</w:t>
            </w: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支援を行う体制を整えている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</w:p>
          <w:p w14:paraId="1A12B8D2" w14:textId="77777777" w:rsidR="009B1818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0" w:type="dxa"/>
          </w:tcPr>
          <w:p w14:paraId="5B49105A" w14:textId="77777777" w:rsidR="009B1818" w:rsidRPr="0076158E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1F203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留学生</w:t>
            </w:r>
            <w:r w:rsidR="00EC04D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学習支援の実施状況について確認する。</w:t>
            </w:r>
          </w:p>
          <w:p w14:paraId="6B61B365" w14:textId="77777777" w:rsidR="009B1818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E2C107F" w14:textId="77777777" w:rsidR="009B1818" w:rsidRPr="0076158E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【根拠資料・データ】</w:t>
            </w:r>
          </w:p>
          <w:p w14:paraId="1B8193B5" w14:textId="77777777" w:rsidR="009B1818" w:rsidRPr="0076158E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・チューター等を配置している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とき</w:t>
            </w: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，</w:t>
            </w: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その制度や配置状況が確認できる資料</w:t>
            </w:r>
          </w:p>
          <w:p w14:paraId="5375C056" w14:textId="77777777" w:rsidR="009B1818" w:rsidRPr="0076158E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6158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・学習支援の利用実績が確認できる資料</w:t>
            </w:r>
          </w:p>
          <w:p w14:paraId="67607390" w14:textId="77777777" w:rsidR="009B1818" w:rsidRDefault="009B1818" w:rsidP="00396A49">
            <w:pPr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3ABBB3F" w14:textId="77777777" w:rsidR="009B1818" w:rsidRDefault="009B1818" w:rsidP="009B1818">
      <w:pPr>
        <w:rPr>
          <w:rFonts w:ascii="ＭＳ 明朝" w:eastAsia="ＭＳ 明朝" w:hAnsi="ＭＳ 明朝"/>
          <w:szCs w:val="21"/>
        </w:rPr>
      </w:pPr>
    </w:p>
    <w:sectPr w:rsidR="009B18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910F" w14:textId="77777777" w:rsidR="00E47E30" w:rsidRDefault="00E47E30">
      <w:r>
        <w:separator/>
      </w:r>
    </w:p>
  </w:endnote>
  <w:endnote w:type="continuationSeparator" w:id="0">
    <w:p w14:paraId="2CCA4685" w14:textId="77777777" w:rsidR="00E47E30" w:rsidRDefault="00E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501C" w14:textId="77777777" w:rsidR="00E47E30" w:rsidRDefault="00E47E30">
      <w:r>
        <w:separator/>
      </w:r>
    </w:p>
  </w:footnote>
  <w:footnote w:type="continuationSeparator" w:id="0">
    <w:p w14:paraId="4AFB7A13" w14:textId="77777777" w:rsidR="00E47E30" w:rsidRDefault="00E4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C431" w14:textId="77777777" w:rsidR="004E720F" w:rsidRDefault="00C669D5" w:rsidP="00D81A5E">
    <w:pPr>
      <w:pStyle w:val="a3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C0D"/>
    <w:multiLevelType w:val="multilevel"/>
    <w:tmpl w:val="66C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5"/>
    <w:rsid w:val="000246B1"/>
    <w:rsid w:val="000661CB"/>
    <w:rsid w:val="000D0487"/>
    <w:rsid w:val="00160C46"/>
    <w:rsid w:val="00162743"/>
    <w:rsid w:val="001F1852"/>
    <w:rsid w:val="001F2033"/>
    <w:rsid w:val="00207350"/>
    <w:rsid w:val="0029686B"/>
    <w:rsid w:val="003B6586"/>
    <w:rsid w:val="00425D05"/>
    <w:rsid w:val="004B5BBA"/>
    <w:rsid w:val="00541990"/>
    <w:rsid w:val="005E14A9"/>
    <w:rsid w:val="0063760B"/>
    <w:rsid w:val="006D0D82"/>
    <w:rsid w:val="007914F2"/>
    <w:rsid w:val="007C2558"/>
    <w:rsid w:val="007D0B77"/>
    <w:rsid w:val="00871EE9"/>
    <w:rsid w:val="00884F11"/>
    <w:rsid w:val="008A05A9"/>
    <w:rsid w:val="009B1818"/>
    <w:rsid w:val="009C5E1D"/>
    <w:rsid w:val="00A50B5F"/>
    <w:rsid w:val="00A52495"/>
    <w:rsid w:val="00AF1B4C"/>
    <w:rsid w:val="00C669D5"/>
    <w:rsid w:val="00D14437"/>
    <w:rsid w:val="00DB199B"/>
    <w:rsid w:val="00DD436F"/>
    <w:rsid w:val="00E12DF7"/>
    <w:rsid w:val="00E23A98"/>
    <w:rsid w:val="00E43478"/>
    <w:rsid w:val="00E47E30"/>
    <w:rsid w:val="00E7076E"/>
    <w:rsid w:val="00EC04D1"/>
    <w:rsid w:val="00EC7CE0"/>
    <w:rsid w:val="00F37A4F"/>
    <w:rsid w:val="00F42CC6"/>
    <w:rsid w:val="00F770F7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B09F1"/>
  <w15:chartTrackingRefBased/>
  <w15:docId w15:val="{D2F7C73D-71C8-4206-8797-F1819EAA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5"/>
  </w:style>
  <w:style w:type="table" w:styleId="a5">
    <w:name w:val="Table Grid"/>
    <w:basedOn w:val="a1"/>
    <w:uiPriority w:val="39"/>
    <w:rsid w:val="00A5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249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7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1E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1E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EE9"/>
  </w:style>
  <w:style w:type="paragraph" w:styleId="ab">
    <w:name w:val="Revision"/>
    <w:hidden/>
    <w:uiPriority w:val="99"/>
    <w:semiHidden/>
    <w:rsid w:val="004B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文章</dc:creator>
  <cp:keywords/>
  <dc:description/>
  <cp:lastModifiedBy>本宮 瑞穂</cp:lastModifiedBy>
  <cp:revision>3</cp:revision>
  <cp:lastPrinted>2022-03-28T01:55:00Z</cp:lastPrinted>
  <dcterms:created xsi:type="dcterms:W3CDTF">2022-03-28T01:55:00Z</dcterms:created>
  <dcterms:modified xsi:type="dcterms:W3CDTF">2022-03-28T23:44:00Z</dcterms:modified>
</cp:coreProperties>
</file>